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cd4b7c84681359ae5f541ee4940423d1100cc"/>
    <w:p>
      <w:pPr>
        <w:pStyle w:val="Heading3"/>
      </w:pPr>
      <w:r>
        <w:t xml:space="preserve">В Едином платежном документе за июль появится новая строка расходов – капитальный ремонт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t xml:space="preserve">В соответствии с нормами Жилищного кодекса РФ, начиная с июля 2015 года у собственников помещений в многоквартирных домах на территории города Москвы возникает обязанность ежемесячно уплачивать взносы на капитальный ремонт общего имущества в многоквартирном доме. Минимальный ежемесячный размер взноса в 2015 году - 15 руб. за кв.м общей площади жилого помещения (квартиры).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Начисление взносов на капремонт возложены на Центры предоставления государственных услуг "Мои документы".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Подробная информация о порядке начисления взносов на капремонт размещена на сайте Фонда капитального ремонта многоквартирных домов города Москвы (www.fond.mos.ru), также работает "горячая линия" 8-495-539-37-87.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http://vost-degunino.mos.ru/overhaul/detail/1907020.html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overhaul/detail/1907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overhaul/detail/1907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2025-04-15T08:00:59Z</dcterms:created>
  <dcterms:modified xsi:type="dcterms:W3CDTF">2025-04-15T08:00:59Z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