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4d2af3ae364e8a634e118e95bb0d8414f2c2d"/>
    <w:p>
      <w:pPr>
        <w:pStyle w:val="Heading3"/>
      </w:pPr>
      <w:r>
        <w:t xml:space="preserve">Работы по благоустройству по программе СУР 2023 за счёт средств, поступивших денежных средств от платных парковок.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drawing>
          <wp:inline>
            <wp:extent cx="5334000" cy="22096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-degunino.mos.ru/www/СУР%2020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9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http://vost-degunino.mos.ru/icheb-construction-and-transport/detail/11619708.html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icheb-construction-and-transport/detail/11619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-degunino.mos.ru" TargetMode="External" /><Relationship Type="http://schemas.openxmlformats.org/officeDocument/2006/relationships/hyperlink" Id="rId23" Target="http://vost-degunino.mos.ru/icheb-construction-and-transport/detail/11619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2025-04-15T08:01:49Z</dcterms:created>
  <dcterms:modified xsi:type="dcterms:W3CDTF">2025-04-15T08:01:49Z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