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29710630f43a65701a2a1acae3757b2ffed496"/>
    <w:p>
      <w:pPr>
        <w:pStyle w:val="Heading3"/>
      </w:pPr>
      <w:r>
        <w:t xml:space="preserve">Начался отбор заявок на грант для предпринимателей и конкурсы сезонного оформления коммерческих помещений в Москве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Департаментом предпринимательства и инновационного развития города Москвы в рамках реализации Порядка предоставления грантов из бюджета города Москвы в целях поощрения юридических лиц и индивидуальных предпринимателей, осуществивших праздничное и тематическое оформление нежилых объектов в городе Москве, утвержденного постановлением Правительства Москвы от 19 ноября 2024 г. № 2589-ПП «О праздничном и тематическом оформлении в городе Москве», объявлен отбор заявок на предоставление грантов юридическим лицам и индивидуальным предпринимателям, осуществившим летнее оформление коммерческих помещений в городе Москве.</w:t>
      </w:r>
    </w:p>
    <w:p>
      <w:pPr>
        <w:pStyle w:val="BodyText"/>
      </w:pPr>
      <w:r>
        <w:t xml:space="preserve">Прием заявок осуществляется в электронном виде с 1 июня по 29 августа 2025 года.</w:t>
      </w:r>
    </w:p>
    <w:p>
      <w:pPr>
        <w:pStyle w:val="BodyText"/>
      </w:pPr>
      <w:r>
        <w:t xml:space="preserve">С 1 июня начался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прием заявок</w:t>
        </w:r>
      </w:hyperlink>
      <w:r>
        <w:t xml:space="preserve"> </w:t>
      </w:r>
      <w:r>
        <w:t xml:space="preserve">на участие в конкурсе «Грант на оформление 100 первым». Благодаря этой мере поддержки предприниматели могут компенсировать затраты на оформление внешнего облика помещений, где размещается их бизнес.</w:t>
      </w:r>
    </w:p>
    <w:p>
      <w:pPr>
        <w:pStyle w:val="BodyText"/>
      </w:pPr>
      <w:r>
        <w:t xml:space="preserve">Кроме того, предприниматели также могут побороться за победу в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конкурсе</w:t>
        </w:r>
      </w:hyperlink>
      <w:r>
        <w:t xml:space="preserve"> </w:t>
      </w:r>
      <w:r>
        <w:t xml:space="preserve">на лучшее сезонное оформление витрин. Приготовили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конкурс</w:t>
        </w:r>
      </w:hyperlink>
      <w:r>
        <w:t xml:space="preserve"> </w:t>
      </w:r>
      <w:r>
        <w:t xml:space="preserve">и для жителей столицы. Всем желающим старше 18 лет предлагают представить свои предложения по-праздничному и тематическому оформлению в рамках проекта «Лето в Москве».</w:t>
      </w:r>
    </w:p>
    <w:p>
      <w:pPr>
        <w:pStyle w:val="BodyText"/>
      </w:pPr>
      <w:r>
        <w:t xml:space="preserve">Претендовать на получение гранта могут предприятия торговли, общественного питания, сферы услуг и гостиницы, расположенные на первых и цокольных этажах зданий и непосредственно выходящие фасадом/витриной/входной группой/верандой минимум на один из элементов улично-дорожной сети (улица, проспект, переулок, проезд, площадь, бульвар, тупик, съезд, шоссе, аллея).</w:t>
      </w:r>
    </w:p>
    <w:p>
      <w:pPr>
        <w:pStyle w:val="BodyText"/>
      </w:pPr>
      <w:r>
        <w:t xml:space="preserve">В рамках грантовой поддержки компенсируется стоимость услуг по разработке проекта оформления объекта, доставке, установке и его монтажу, а также затраты</w:t>
      </w:r>
    </w:p>
    <w:p>
      <w:pPr>
        <w:pStyle w:val="BodyText"/>
      </w:pPr>
      <w:r>
        <w:t xml:space="preserve">на приобретение прав на использование программного обеспечения, оборудования</w:t>
      </w:r>
    </w:p>
    <w:p>
      <w:pPr>
        <w:pStyle w:val="BodyText"/>
      </w:pPr>
      <w:r>
        <w:t xml:space="preserve">и материалов, использованных при оформлении. Максимальный размер гранта составляет 2 млн рублей.</w:t>
      </w:r>
    </w:p>
    <w:p>
      <w:pPr>
        <w:pStyle w:val="BodyText"/>
      </w:pPr>
      <w:r>
        <w:t xml:space="preserve">Так, например, претендовать на получение гранта могут предприятия, оформившие фасады, витрины, входные группы или веранду с использованием цветочных композиций, растений, деревьев, кустарников и других зеленых насаждений, а также настенных и светодиодных композиций, подвесных украшений и медиатехнологий.</w:t>
      </w:r>
    </w:p>
    <w:p>
      <w:pPr>
        <w:pStyle w:val="BodyText"/>
      </w:pPr>
      <w:hyperlink r:id="rId23">
        <w:r>
          <w:rPr>
            <w:rStyle w:val="Hyperlink"/>
          </w:rPr>
          <w:t xml:space="preserve">Instruktsiya-po-oformleniyu-dokumentov_Grant-100-pervym_.pdf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Instruktsiya-kak-oformit-svoy-proekt-Leto-2025-_1_.pdf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http://vost-degunino.mos.ru/ekonomika-i-potrebitelskiy-rynok/potrebitelskiy-rynok/informatsi/detail/13015273.html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vost-degunino.mos.ru" TargetMode="External" /><Relationship Type="http://schemas.openxmlformats.org/officeDocument/2006/relationships/hyperlink" Id="rId25" Target="http://vost-degunino.mos.ru/ekonomika-i-potrebitelskiy-rynok/potrebitelskiy-rynok/informatsi/detail/13015273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4" Target="https://moskvoreche-saburovo.mos.ru/upload_local/iblock/ae9/ae99324df3f1f13ae576f1be3f68a6ba/Instruktsiya-kak-oformit-svoy-proekt-Leto-2025-_1_.pdf" TargetMode="External" /><Relationship Type="http://schemas.openxmlformats.org/officeDocument/2006/relationships/hyperlink" Id="rId23" Target="https://moskvoreche-saburovo.mos.ru/upload_local/iblock/b7b/b7b6ba18333435aa3a081535304784ee/Instruktsiya-po-oformleniyu-dokumentov_Grant-100-pervym_.pdf" TargetMode="External" /><Relationship Type="http://schemas.openxmlformats.org/officeDocument/2006/relationships/hyperlink" Id="rId21" Target="https://www.mos.ru/pgu2/landing/1507261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vost-degunino.mos.ru" TargetMode="External" /><Relationship Type="http://schemas.openxmlformats.org/officeDocument/2006/relationships/hyperlink" Id="rId25" Target="http://vost-degunino.mos.ru/ekonomika-i-potrebitelskiy-rynok/potrebitelskiy-rynok/informatsi/detail/13015273.html" TargetMode="External" /><Relationship Type="http://schemas.openxmlformats.org/officeDocument/2006/relationships/hyperlink" Id="rId22" Target="https://delo.mos.ru/contest" TargetMode="External" /><Relationship Type="http://schemas.openxmlformats.org/officeDocument/2006/relationships/hyperlink" Id="rId20" Target="https://delo.mos.ru/grant100" TargetMode="External" /><Relationship Type="http://schemas.openxmlformats.org/officeDocument/2006/relationships/hyperlink" Id="rId24" Target="https://moskvoreche-saburovo.mos.ru/upload_local/iblock/ae9/ae99324df3f1f13ae576f1be3f68a6ba/Instruktsiya-kak-oformit-svoy-proekt-Leto-2025-_1_.pdf" TargetMode="External" /><Relationship Type="http://schemas.openxmlformats.org/officeDocument/2006/relationships/hyperlink" Id="rId23" Target="https://moskvoreche-saburovo.mos.ru/upload_local/iblock/b7b/b7b6ba18333435aa3a081535304784ee/Instruktsiya-po-oformleniyu-dokumentov_Grant-100-pervym_.pdf" TargetMode="External" /><Relationship Type="http://schemas.openxmlformats.org/officeDocument/2006/relationships/hyperlink" Id="rId21" Target="https://www.mos.ru/pgu2/landing/1507261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2025-07-14T23:09:13Z</dcterms:created>
  <dcterms:modified xsi:type="dcterms:W3CDTF">2025-07-14T23:09:13Z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